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75F" w:rsidRPr="002B675F" w:rsidRDefault="002B675F" w:rsidP="002B675F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2B675F" w:rsidRPr="002B675F" w:rsidRDefault="002B675F" w:rsidP="002B675F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</w:p>
    <w:p w:rsidR="002B675F" w:rsidRPr="002B675F" w:rsidRDefault="002B675F" w:rsidP="002B675F">
      <w:pPr>
        <w:bidi/>
        <w:spacing w:after="0" w:line="360" w:lineRule="auto"/>
        <w:jc w:val="center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2B675F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چکیده</w:t>
      </w:r>
    </w:p>
    <w:p w:rsidR="002B675F" w:rsidRPr="002B675F" w:rsidRDefault="002B675F" w:rsidP="002B675F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در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این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پایان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 xml:space="preserve">نامه </w:t>
      </w:r>
      <w:r w:rsidRPr="002B675F">
        <w:rPr>
          <w:rFonts w:ascii="Times New Roman" w:eastAsia="BNazanin" w:hAnsi="BNazanin" w:cs="B Nazanin" w:hint="cs"/>
          <w:color w:val="000000"/>
          <w:sz w:val="24"/>
          <w:szCs w:val="24"/>
          <w:rtl/>
        </w:rPr>
        <w:t xml:space="preserve">هموپلیمری از 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  <w:lang w:bidi="fa-IR"/>
        </w:rPr>
        <w:t>۲</w:t>
      </w:r>
      <w:r w:rsidRPr="002B675F">
        <w:rPr>
          <w:rFonts w:ascii="Times New Roman" w:eastAsia="BNazanin" w:hAnsi="BNazanin" w:cs="B Nazanin" w:hint="cs"/>
          <w:color w:val="000000"/>
          <w:sz w:val="24"/>
          <w:szCs w:val="24"/>
          <w:rtl/>
        </w:rPr>
        <w:t>-آمینوبنزوئیک اسید و همچنین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 xml:space="preserve">کوپلیمری از مونومرهای </w:t>
      </w:r>
      <w:r w:rsidRPr="002B675F">
        <w:rPr>
          <w:rFonts w:ascii="Times New Roman" w:eastAsia="BNazanin" w:hAnsi="BNazanin" w:cs="B Nazanin" w:hint="cs"/>
          <w:color w:val="000000"/>
          <w:sz w:val="24"/>
          <w:szCs w:val="24"/>
          <w:rtl/>
        </w:rPr>
        <w:t>آنیلین و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 xml:space="preserve"> 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  <w:lang w:bidi="fa-IR"/>
        </w:rPr>
        <w:t>۲</w:t>
      </w:r>
      <w:r w:rsidRPr="002B675F">
        <w:rPr>
          <w:rFonts w:ascii="Times New Roman" w:eastAsia="BNazanin" w:hAnsi="BNazanin" w:cs="B Nazanin" w:hint="cs"/>
          <w:color w:val="000000"/>
          <w:sz w:val="24"/>
          <w:szCs w:val="24"/>
          <w:rtl/>
        </w:rPr>
        <w:t xml:space="preserve">-آمینوبنزوئیک اسید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برای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اولین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بار در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حالت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جامد و با استفاده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از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اکسید</w:t>
      </w:r>
      <w:r w:rsidRPr="002B675F">
        <w:rPr>
          <w:rFonts w:ascii="Times New Roman" w:eastAsia="BNazanin" w:hAnsi="BNazanin" w:cs="B Nazanin" w:hint="cs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/>
          <w:color w:val="000000"/>
          <w:sz w:val="24"/>
          <w:szCs w:val="24"/>
          <w:rtl/>
        </w:rPr>
        <w:t>کننده</w:t>
      </w:r>
      <w:r w:rsidRPr="002B675F">
        <w:rPr>
          <w:rFonts w:ascii="Arial" w:eastAsia="BNazanin" w:hAnsi="Arial" w:cs="B Nazanin"/>
          <w:color w:val="000000"/>
          <w:sz w:val="24"/>
          <w:szCs w:val="24"/>
          <w:rtl/>
        </w:rPr>
        <w:softHyphen/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ی</w:t>
      </w:r>
      <w:r w:rsidRPr="002B675F">
        <w:rPr>
          <w:rFonts w:ascii="Times New Roman" w:eastAsia="BNazanin" w:hAnsi="BNazanin" w:cs="B Nazanin"/>
          <w:color w:val="000000"/>
          <w:sz w:val="24"/>
          <w:szCs w:val="24"/>
        </w:rPr>
        <w:t xml:space="preserve"> 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</w:rPr>
        <w:t>FeCl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  <w:vertAlign w:val="subscript"/>
        </w:rPr>
        <w:t>3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</w:rPr>
        <w:t>.6H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  <w:vertAlign w:val="subscript"/>
        </w:rPr>
        <w:t>2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</w:rPr>
        <w:t>O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TimesNewRomanPSMT" w:eastAsia="Times New Roman" w:hAnsi="TimesNewRomanPSMT" w:cs="B Nazanin" w:hint="cs"/>
          <w:color w:val="000000"/>
          <w:sz w:val="24"/>
          <w:szCs w:val="24"/>
          <w:rtl/>
        </w:rPr>
        <w:t xml:space="preserve">سنتز شدند. در مرحله بعد نانوکامپوزیتهای مغناطیسی از هموپلیمر و کوپلیمر سنتز شده در کنار نانوذرات </w:t>
      </w:r>
      <w:r w:rsidRPr="002B675F">
        <w:rPr>
          <w:rFonts w:ascii="TimesNewRomanPSMT" w:eastAsia="Times New Roman" w:hAnsi="TimesNewRomanPSMT" w:cs="B Nazanin" w:hint="cs"/>
          <w:color w:val="000000"/>
          <w:sz w:val="24"/>
          <w:szCs w:val="24"/>
          <w:rtl/>
          <w:lang w:bidi="fa-IR"/>
        </w:rPr>
        <w:t xml:space="preserve">مغناطیسی 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  <w:lang w:bidi="fa-IR"/>
        </w:rPr>
        <w:t>Fe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  <w:vertAlign w:val="subscript"/>
          <w:lang w:bidi="fa-IR"/>
        </w:rPr>
        <w:t>3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  <w:lang w:bidi="fa-IR"/>
        </w:rPr>
        <w:t>O</w:t>
      </w:r>
      <w:r w:rsidRPr="002B675F">
        <w:rPr>
          <w:rFonts w:ascii="TimesNewRomanPSMT" w:eastAsia="Times New Roman" w:hAnsi="TimesNewRomanPSMT" w:cs="B Nazanin"/>
          <w:color w:val="000000"/>
          <w:sz w:val="24"/>
          <w:szCs w:val="24"/>
          <w:vertAlign w:val="subscript"/>
          <w:lang w:bidi="fa-IR"/>
        </w:rPr>
        <w:t>4</w:t>
      </w:r>
      <w:r w:rsidRPr="002B675F">
        <w:rPr>
          <w:rFonts w:ascii="TimesNewRomanPSMT" w:eastAsia="Times New Roman" w:hAnsi="TimesNewRomanPSMT" w:cs="B Nazanin" w:hint="cs"/>
          <w:color w:val="000000"/>
          <w:sz w:val="24"/>
          <w:szCs w:val="24"/>
          <w:rtl/>
          <w:lang w:bidi="fa-IR"/>
        </w:rPr>
        <w:t xml:space="preserve"> تهیه شدند. </w:t>
      </w:r>
      <w:r w:rsidRPr="002B675F">
        <w:rPr>
          <w:rFonts w:ascii="Times New Roman" w:eastAsia="BNazanin" w:hAnsi="BNazanin" w:cs="B Nazanin" w:hint="cs"/>
          <w:color w:val="000000"/>
          <w:sz w:val="24"/>
          <w:szCs w:val="24"/>
          <w:rtl/>
        </w:rPr>
        <w:t xml:space="preserve">همچنین پلی (2-آمینوبنزوئیک اسید)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در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 xml:space="preserve">حالت محلول و با استفاده 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از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>اکسید کننده آمونیوم پرسولفات نیز سنتز</w:t>
      </w:r>
      <w:r w:rsidRPr="002B675F">
        <w:rPr>
          <w:rFonts w:ascii="Times New Roman" w:eastAsia="BNazanin" w:hAnsi="BNazanin" w:cs="B Nazanin"/>
          <w:color w:val="000000"/>
          <w:sz w:val="24"/>
          <w:szCs w:val="24"/>
          <w:rtl/>
        </w:rPr>
        <w:t xml:space="preserve"> </w:t>
      </w:r>
      <w:r w:rsidRPr="002B675F">
        <w:rPr>
          <w:rFonts w:ascii="Arial" w:eastAsia="BNazanin" w:hAnsi="Arial" w:cs="B Nazanin" w:hint="cs"/>
          <w:color w:val="000000"/>
          <w:sz w:val="24"/>
          <w:szCs w:val="24"/>
          <w:rtl/>
        </w:rPr>
        <w:t xml:space="preserve">شد.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>تمامی ترکیبات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 xml:space="preserve"> سنتز شده توسط آنالیزهای </w:t>
      </w:r>
      <w:r w:rsidRPr="002B675F">
        <w:rPr>
          <w:rFonts w:ascii="Times New Roman" w:eastAsia="Times New Roman" w:hAnsi="Times New Roman" w:cs="B Nazanin"/>
          <w:sz w:val="20"/>
          <w:szCs w:val="24"/>
        </w:rPr>
        <w:t>FT-IR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>،</w:t>
      </w:r>
      <w:r w:rsidRPr="002B675F">
        <w:rPr>
          <w:rFonts w:ascii="Times New Roman" w:eastAsia="Times New Roman" w:hAnsi="Times New Roman" w:cs="B Nazanin"/>
          <w:sz w:val="20"/>
          <w:szCs w:val="24"/>
        </w:rPr>
        <w:t>UV-vis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 xml:space="preserve">و </w:t>
      </w:r>
      <w:r w:rsidRPr="002B675F">
        <w:rPr>
          <w:rFonts w:ascii="Times New Roman" w:eastAsia="Times New Roman" w:hAnsi="Times New Roman" w:cs="B Nazanin"/>
          <w:sz w:val="20"/>
          <w:szCs w:val="24"/>
        </w:rPr>
        <w:t>CV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 xml:space="preserve">شناسایی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و بررسی 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>شدند</w:t>
      </w:r>
      <w:r w:rsidRPr="002B675F">
        <w:rPr>
          <w:rFonts w:ascii="Times New Roman" w:eastAsia="Times New Roman" w:hAnsi="Times New Roman" w:cs="B Nazanin"/>
          <w:sz w:val="20"/>
          <w:szCs w:val="24"/>
        </w:rPr>
        <w:t>.</w:t>
      </w:r>
      <w:r w:rsidRPr="002B675F">
        <w:rPr>
          <w:rFonts w:ascii="Times New Roman" w:eastAsia="BNazanin" w:hAnsi="Times New Roman" w:cs="B Nazanin" w:hint="cs"/>
          <w:sz w:val="20"/>
          <w:szCs w:val="24"/>
          <w:rtl/>
        </w:rPr>
        <w:t xml:space="preserve">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>تعیین فاز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 xml:space="preserve"> و ماهیت بلوری</w:t>
      </w:r>
      <w:r w:rsidRPr="002B675F">
        <w:rPr>
          <w:rFonts w:ascii="Times New Roman" w:eastAsia="BNazanin" w:hAnsi="Times New Roman" w:cs="B Nazanin" w:hint="cs"/>
          <w:sz w:val="20"/>
          <w:szCs w:val="24"/>
          <w:rtl/>
        </w:rPr>
        <w:t xml:space="preserve">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>ت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>رکیبات سنتز شده نیز توسط آنال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>ی</w:t>
      </w:r>
      <w:r w:rsidRPr="002B675F">
        <w:rPr>
          <w:rFonts w:ascii="Times New Roman" w:eastAsia="Times New Roman" w:hAnsi="Times New Roman" w:cs="B Nazanin" w:hint="eastAsia"/>
          <w:sz w:val="20"/>
          <w:szCs w:val="24"/>
          <w:rtl/>
        </w:rPr>
        <w:t>ز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 xml:space="preserve"> </w:t>
      </w:r>
      <w:r w:rsidRPr="002B675F">
        <w:rPr>
          <w:rFonts w:ascii="Times New Roman" w:eastAsia="Times New Roman" w:hAnsi="Times New Roman" w:cs="B Nazanin"/>
          <w:sz w:val="20"/>
          <w:szCs w:val="24"/>
        </w:rPr>
        <w:t>XRD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2B675F">
        <w:rPr>
          <w:rFonts w:ascii="Times New Roman" w:eastAsia="Times New Roman" w:hAnsi="Times New Roman" w:cs="B Nazanin"/>
          <w:sz w:val="20"/>
          <w:szCs w:val="24"/>
          <w:rtl/>
        </w:rPr>
        <w:t xml:space="preserve">مورد بررسی قرار گرفت.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>در آخر، سلول های خورشیدی هیبریدی ساخته شد که در آنها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از ترکیبات سنتز شده به عنوان لایه فعال استفاده گردید. منحنی </w:t>
      </w:r>
      <w:r w:rsidRPr="002B675F">
        <w:rPr>
          <w:rFonts w:ascii="Times New Roman" w:eastAsia="Times New Roman" w:hAnsi="Times New Roman" w:cs="B Nazanin"/>
          <w:sz w:val="20"/>
          <w:szCs w:val="24"/>
        </w:rPr>
        <w:t>I-V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 هر یک از سلول</w:t>
      </w:r>
      <w:r w:rsidRPr="002B675F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softHyphen/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ها تحت تابش شبیه ساز خورشیدی رسم و مقادیر فتوولتائیک و در نهایت بازده هر یک از سلها محاسبه گردید. بازده مشاهده شده برای سلهای خورشیدی ساخته شده بین محدوده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</w:rPr>
        <w:t xml:space="preserve">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0019/0 تا 43/0</w:t>
      </w:r>
      <w:r w:rsidRPr="002B675F">
        <w:rPr>
          <w:rFonts w:ascii="Times New Roman" w:eastAsia="Times New Roman" w:hAnsi="Times New Roman" w:cs="B Nazanin"/>
          <w:sz w:val="20"/>
          <w:szCs w:val="24"/>
          <w:lang w:bidi="fa-IR"/>
        </w:rPr>
        <w:t xml:space="preserve">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درصد</w:t>
      </w:r>
      <w:r w:rsidRPr="002B675F">
        <w:rPr>
          <w:rFonts w:ascii="Times New Roman" w:eastAsia="Times New Roman" w:hAnsi="Times New Roman" w:cs="B Nazanin" w:hint="cs"/>
          <w:sz w:val="20"/>
          <w:szCs w:val="24"/>
          <w:vertAlign w:val="superscript"/>
          <w:rtl/>
          <w:lang w:bidi="fa-IR"/>
        </w:rPr>
        <w:t xml:space="preserve"> 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مشاهده گردید</w:t>
      </w:r>
      <w:r w:rsidRPr="002B675F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>.</w:t>
      </w:r>
    </w:p>
    <w:p w:rsidR="002B675F" w:rsidRPr="002B675F" w:rsidRDefault="002B675F" w:rsidP="002B675F">
      <w:pPr>
        <w:bidi/>
        <w:spacing w:after="0" w:line="360" w:lineRule="auto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</w:p>
    <w:p w:rsidR="002B675F" w:rsidRPr="002B675F" w:rsidRDefault="002B675F" w:rsidP="002B675F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2B675F" w:rsidRPr="002B675F" w:rsidRDefault="002B675F" w:rsidP="002B675F">
      <w:pPr>
        <w:bidi/>
        <w:spacing w:after="0" w:line="360" w:lineRule="auto"/>
        <w:ind w:left="284" w:hanging="284"/>
        <w:jc w:val="both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2B675F"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 xml:space="preserve"> کلمات کلیدی: </w:t>
      </w:r>
      <w:r w:rsidRPr="002B675F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>سلول‌ها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ی خورشیدی، پلیمر، نانو کامپوزیت مغناطیسی، پلی آنیلین، کوپلیمر، </w:t>
      </w:r>
      <w:r w:rsidRPr="002B675F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>پل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ی</w:t>
      </w:r>
      <w:r w:rsidRPr="002B675F">
        <w:rPr>
          <w:rFonts w:ascii="Times New Roman" w:eastAsia="Times New Roman" w:hAnsi="Times New Roman" w:cs="B Nazanin"/>
          <w:sz w:val="20"/>
          <w:szCs w:val="24"/>
          <w:rtl/>
          <w:lang w:bidi="fa-IR"/>
        </w:rPr>
        <w:t xml:space="preserve"> (</w:t>
      </w:r>
      <w:r w:rsidRPr="002B675F">
        <w:rPr>
          <w:rFonts w:ascii="Times New Roman" w:eastAsia="Times New Roman" w:hAnsi="Times New Roman" w:cs="B Nazanin" w:hint="cs"/>
          <w:i/>
          <w:iCs/>
          <w:sz w:val="20"/>
          <w:szCs w:val="24"/>
          <w:rtl/>
          <w:lang w:bidi="fa-IR"/>
        </w:rPr>
        <w:t>2</w:t>
      </w: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>-آمینوبنزوئیک اسید)</w:t>
      </w:r>
    </w:p>
    <w:p w:rsidR="002B675F" w:rsidRPr="002B675F" w:rsidRDefault="002B675F" w:rsidP="002B675F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  <w:r w:rsidRPr="002B675F">
        <w:rPr>
          <w:rFonts w:ascii="Times New Roman" w:eastAsia="Times New Roman" w:hAnsi="Times New Roman" w:cs="B Nazanin" w:hint="cs"/>
          <w:sz w:val="20"/>
          <w:szCs w:val="24"/>
          <w:rtl/>
          <w:lang w:bidi="fa-IR"/>
        </w:rPr>
        <w:t xml:space="preserve">  </w:t>
      </w:r>
    </w:p>
    <w:p w:rsidR="002B675F" w:rsidRPr="002B675F" w:rsidRDefault="002B675F" w:rsidP="002B675F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</w:p>
    <w:p w:rsidR="002B675F" w:rsidRPr="002B675F" w:rsidRDefault="002B675F" w:rsidP="002B675F">
      <w:pPr>
        <w:bidi/>
        <w:spacing w:after="0" w:line="360" w:lineRule="auto"/>
        <w:jc w:val="both"/>
        <w:rPr>
          <w:rFonts w:ascii="Times New Roman" w:eastAsia="Times New Roman" w:hAnsi="Times New Roman" w:cs="B Nazanin"/>
          <w:sz w:val="20"/>
          <w:szCs w:val="24"/>
          <w:rtl/>
          <w:lang w:bidi="fa-IR"/>
        </w:rPr>
      </w:pPr>
    </w:p>
    <w:p w:rsidR="00766A51" w:rsidRDefault="00766A51"/>
    <w:sectPr w:rsidR="00766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MS Gothic"/>
    <w:panose1 w:val="00000000000000000000"/>
    <w:charset w:val="80"/>
    <w:family w:val="auto"/>
    <w:notTrueType/>
    <w:pitch w:val="default"/>
    <w:sig w:usb0="00002001" w:usb1="00000000" w:usb2="00000000" w:usb3="00000000" w:csb0="0000004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5F"/>
    <w:rsid w:val="002B675F"/>
    <w:rsid w:val="007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8B75"/>
  <w15:chartTrackingRefBased/>
  <w15:docId w15:val="{C244CB2F-1F86-46F9-BEE5-C951CBB2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</dc:creator>
  <cp:keywords/>
  <dc:description/>
  <cp:lastModifiedBy>ITA</cp:lastModifiedBy>
  <cp:revision>1</cp:revision>
  <dcterms:created xsi:type="dcterms:W3CDTF">2022-01-09T09:09:00Z</dcterms:created>
  <dcterms:modified xsi:type="dcterms:W3CDTF">2022-01-09T09:09:00Z</dcterms:modified>
</cp:coreProperties>
</file>